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CCFB3" w14:textId="0B4CA287" w:rsidR="00156480" w:rsidRPr="00F1655D" w:rsidRDefault="00156480" w:rsidP="00F1655D">
      <w:pPr>
        <w:snapToGrid w:val="0"/>
        <w:contextualSpacing/>
        <w:jc w:val="center"/>
        <w:rPr>
          <w:b/>
          <w:bCs/>
          <w:sz w:val="28"/>
          <w:szCs w:val="32"/>
        </w:rPr>
      </w:pPr>
      <w:r w:rsidRPr="00F1655D">
        <w:rPr>
          <w:rFonts w:hint="eastAsia"/>
          <w:b/>
          <w:bCs/>
          <w:sz w:val="28"/>
          <w:szCs w:val="32"/>
        </w:rPr>
        <w:t>サブソサイエティ設立趣意書</w:t>
      </w:r>
      <w:r w:rsidR="00216910">
        <w:rPr>
          <w:rFonts w:hint="eastAsia"/>
          <w:b/>
          <w:bCs/>
          <w:sz w:val="28"/>
          <w:szCs w:val="32"/>
        </w:rPr>
        <w:t>（案）</w:t>
      </w:r>
    </w:p>
    <w:p w14:paraId="0F8E0E2A" w14:textId="77777777" w:rsidR="00156480" w:rsidRDefault="00156480" w:rsidP="00156480">
      <w:pPr>
        <w:snapToGrid w:val="0"/>
        <w:contextualSpacing/>
      </w:pPr>
    </w:p>
    <w:p w14:paraId="4FFBD0D4" w14:textId="68FEBC63" w:rsidR="00156480" w:rsidRDefault="00156480" w:rsidP="00F1655D">
      <w:pPr>
        <w:snapToGrid w:val="0"/>
        <w:contextualSpacing/>
        <w:jc w:val="right"/>
      </w:pPr>
      <w:r>
        <w:rPr>
          <w:rFonts w:hint="eastAsia"/>
        </w:rPr>
        <w:t>２０○○年○○月○○日</w:t>
      </w:r>
    </w:p>
    <w:p w14:paraId="4D4BAED4" w14:textId="77777777" w:rsidR="00156480" w:rsidRDefault="00156480" w:rsidP="00156480">
      <w:pPr>
        <w:snapToGrid w:val="0"/>
        <w:contextualSpacing/>
      </w:pPr>
    </w:p>
    <w:p w14:paraId="2522F131" w14:textId="57C21FD2" w:rsidR="00156480" w:rsidRDefault="00156480" w:rsidP="00156480">
      <w:pPr>
        <w:snapToGrid w:val="0"/>
        <w:contextualSpacing/>
      </w:pPr>
      <w:r>
        <w:rPr>
          <w:rFonts w:hint="eastAsia"/>
        </w:rPr>
        <w:t>電子情報通信学会 基礎・境界ソサイエティ会長</w:t>
      </w:r>
    </w:p>
    <w:p w14:paraId="6A235DF7" w14:textId="637FFEF8" w:rsidR="00156480" w:rsidRDefault="00156480" w:rsidP="00156480">
      <w:pPr>
        <w:snapToGrid w:val="0"/>
        <w:contextualSpacing/>
      </w:pPr>
      <w:r>
        <w:rPr>
          <w:rFonts w:hint="eastAsia"/>
        </w:rPr>
        <w:t>○○　○○　殿</w:t>
      </w:r>
    </w:p>
    <w:p w14:paraId="0A1BD673" w14:textId="77777777" w:rsidR="00156480" w:rsidRDefault="00156480" w:rsidP="00156480">
      <w:pPr>
        <w:snapToGrid w:val="0"/>
        <w:contextualSpacing/>
      </w:pPr>
    </w:p>
    <w:p w14:paraId="0A985311" w14:textId="4D177FD1" w:rsidR="00156480" w:rsidRDefault="00156480" w:rsidP="00F1655D">
      <w:pPr>
        <w:snapToGrid w:val="0"/>
        <w:contextualSpacing/>
        <w:jc w:val="right"/>
      </w:pPr>
      <w:r>
        <w:rPr>
          <w:rFonts w:hint="eastAsia"/>
        </w:rPr>
        <w:t xml:space="preserve">○○研究専門委員長 </w:t>
      </w:r>
      <w:r w:rsidRPr="00156480">
        <w:rPr>
          <w:rFonts w:hint="eastAsia"/>
          <w:color w:val="0F9ED5" w:themeColor="accent4"/>
        </w:rPr>
        <w:t>※発起人のESS内での役職</w:t>
      </w:r>
    </w:p>
    <w:p w14:paraId="3FDEA136" w14:textId="53DF05AE" w:rsidR="00156480" w:rsidRDefault="00156480" w:rsidP="00F1655D">
      <w:pPr>
        <w:snapToGrid w:val="0"/>
        <w:contextualSpacing/>
        <w:jc w:val="right"/>
      </w:pPr>
      <w:r>
        <w:rPr>
          <w:rFonts w:hint="eastAsia"/>
        </w:rPr>
        <w:t xml:space="preserve">○○　○○ </w:t>
      </w:r>
      <w:r w:rsidRPr="00156480">
        <w:rPr>
          <w:rFonts w:hint="eastAsia"/>
          <w:color w:val="0F9ED5" w:themeColor="accent4"/>
        </w:rPr>
        <w:t>※発起人氏名</w:t>
      </w:r>
    </w:p>
    <w:p w14:paraId="73ABE226" w14:textId="77777777" w:rsidR="00156480" w:rsidRDefault="00156480" w:rsidP="00156480">
      <w:pPr>
        <w:snapToGrid w:val="0"/>
        <w:contextualSpacing/>
      </w:pPr>
    </w:p>
    <w:p w14:paraId="55CB43BA" w14:textId="531075EF" w:rsidR="00156480" w:rsidRPr="00156480" w:rsidRDefault="00156480" w:rsidP="00156480">
      <w:pPr>
        <w:snapToGrid w:val="0"/>
        <w:contextualSpacing/>
        <w:rPr>
          <w:color w:val="0F9ED5" w:themeColor="accent4"/>
        </w:rPr>
      </w:pPr>
      <w:r>
        <w:rPr>
          <w:rFonts w:hint="eastAsia"/>
          <w:color w:val="0F9ED5" w:themeColor="accent4"/>
        </w:rPr>
        <w:t>※</w:t>
      </w:r>
      <w:r w:rsidR="00F1655D">
        <w:rPr>
          <w:rFonts w:hint="eastAsia"/>
          <w:color w:val="0F9ED5" w:themeColor="accent4"/>
        </w:rPr>
        <w:t>この色の</w:t>
      </w:r>
      <w:r w:rsidRPr="00156480">
        <w:rPr>
          <w:rFonts w:hint="eastAsia"/>
          <w:color w:val="0F9ED5" w:themeColor="accent4"/>
        </w:rPr>
        <w:t>文字の箇所は本様式作成時に削除してください</w:t>
      </w:r>
    </w:p>
    <w:p w14:paraId="3682668D" w14:textId="77777777" w:rsidR="00156480" w:rsidRDefault="00156480" w:rsidP="00156480">
      <w:pPr>
        <w:pStyle w:val="a9"/>
        <w:numPr>
          <w:ilvl w:val="0"/>
          <w:numId w:val="1"/>
        </w:numPr>
        <w:snapToGrid w:val="0"/>
      </w:pPr>
      <w:r>
        <w:rPr>
          <w:rFonts w:hint="eastAsia"/>
        </w:rPr>
        <w:t>サブソサイエティ名称</w:t>
      </w:r>
    </w:p>
    <w:p w14:paraId="2A5FD5C3" w14:textId="486C8DD8" w:rsidR="00156480" w:rsidRDefault="00156480" w:rsidP="00156480">
      <w:pPr>
        <w:pStyle w:val="a9"/>
        <w:snapToGrid w:val="0"/>
        <w:ind w:left="360"/>
      </w:pPr>
      <w:r>
        <w:rPr>
          <w:rFonts w:hint="eastAsia"/>
        </w:rPr>
        <w:t>和文名称：</w:t>
      </w:r>
    </w:p>
    <w:p w14:paraId="5F9D61DB" w14:textId="556987D4" w:rsidR="00156480" w:rsidRDefault="00156480" w:rsidP="00156480">
      <w:pPr>
        <w:pStyle w:val="a9"/>
        <w:snapToGrid w:val="0"/>
        <w:ind w:left="360"/>
      </w:pPr>
      <w:r>
        <w:rPr>
          <w:rFonts w:hint="eastAsia"/>
        </w:rPr>
        <w:t>英文名称：</w:t>
      </w:r>
    </w:p>
    <w:p w14:paraId="5C5D2522" w14:textId="2E9F7A70" w:rsidR="00156480" w:rsidRDefault="00156480" w:rsidP="00156480">
      <w:pPr>
        <w:pStyle w:val="a9"/>
        <w:snapToGrid w:val="0"/>
        <w:ind w:left="360"/>
      </w:pPr>
      <w:r>
        <w:rPr>
          <w:rFonts w:hint="eastAsia"/>
        </w:rPr>
        <w:t>英文略称（任意）：</w:t>
      </w:r>
    </w:p>
    <w:p w14:paraId="4E11C910" w14:textId="77777777" w:rsidR="00156480" w:rsidRDefault="00156480" w:rsidP="00156480">
      <w:pPr>
        <w:pStyle w:val="a9"/>
        <w:snapToGrid w:val="0"/>
        <w:ind w:left="360"/>
      </w:pPr>
    </w:p>
    <w:p w14:paraId="5F1B2FA0" w14:textId="4C8CBBE9" w:rsidR="00156480" w:rsidRDefault="00156480" w:rsidP="00156480">
      <w:pPr>
        <w:pStyle w:val="a9"/>
        <w:numPr>
          <w:ilvl w:val="0"/>
          <w:numId w:val="1"/>
        </w:numPr>
        <w:snapToGrid w:val="0"/>
      </w:pPr>
      <w:r>
        <w:rPr>
          <w:rFonts w:hint="eastAsia"/>
        </w:rPr>
        <w:t>設置の目的</w:t>
      </w:r>
    </w:p>
    <w:p w14:paraId="6AFB6D89" w14:textId="49A19787" w:rsidR="00156480" w:rsidRDefault="00156480" w:rsidP="00156480">
      <w:pPr>
        <w:pStyle w:val="a9"/>
        <w:snapToGrid w:val="0"/>
        <w:ind w:left="360"/>
      </w:pPr>
      <w:r w:rsidRPr="00156480">
        <w:rPr>
          <w:rFonts w:hint="eastAsia"/>
          <w:color w:val="0F9ED5" w:themeColor="accent4"/>
        </w:rPr>
        <w:t>※参考：サブソサイエティ運営規程第２条</w:t>
      </w:r>
      <w:r w:rsidRPr="00156480">
        <w:rPr>
          <w:color w:val="0F9ED5" w:themeColor="accent4"/>
        </w:rPr>
        <w:br/>
      </w:r>
      <w:r w:rsidRPr="00156480">
        <w:rPr>
          <w:rFonts w:hint="eastAsia"/>
          <w:color w:val="0F9ED5" w:themeColor="accent4"/>
        </w:rPr>
        <w:t>サブソサイエティは、サブソサイエティ形態の組織に基づく研究活動を通して</w:t>
      </w:r>
      <w:r w:rsidRPr="00156480">
        <w:rPr>
          <w:color w:val="0F9ED5" w:themeColor="accent4"/>
        </w:rPr>
        <w:t>1研究専門委員会以上の多岐にわたる当該研究分野の活性化を図り、学問、技術および関連事業の振興に寄与することを目的とする。</w:t>
      </w:r>
      <w:r w:rsidR="00F1655D">
        <w:rPr>
          <w:color w:val="0F9ED5" w:themeColor="accent4"/>
        </w:rPr>
        <w:br/>
      </w:r>
    </w:p>
    <w:p w14:paraId="2E57FC50" w14:textId="1B5B487A" w:rsidR="00156480" w:rsidRDefault="00156480" w:rsidP="00156480">
      <w:pPr>
        <w:pStyle w:val="a9"/>
        <w:numPr>
          <w:ilvl w:val="0"/>
          <w:numId w:val="1"/>
        </w:numPr>
        <w:snapToGrid w:val="0"/>
      </w:pPr>
      <w:r>
        <w:rPr>
          <w:rFonts w:hint="eastAsia"/>
        </w:rPr>
        <w:t>担当する研究分野</w:t>
      </w:r>
    </w:p>
    <w:p w14:paraId="3E710534" w14:textId="2A4BC524" w:rsidR="00156480" w:rsidRDefault="00156480" w:rsidP="00156480">
      <w:pPr>
        <w:pStyle w:val="a9"/>
        <w:snapToGrid w:val="0"/>
        <w:ind w:left="360"/>
      </w:pPr>
      <w:r w:rsidRPr="00156480">
        <w:rPr>
          <w:rFonts w:hint="eastAsia"/>
          <w:color w:val="0F9ED5" w:themeColor="accent4"/>
        </w:rPr>
        <w:t>※参考：サブソサイエティ運営規程第７条（抜粋）</w:t>
      </w:r>
      <w:r w:rsidR="00F1655D">
        <w:rPr>
          <w:color w:val="0F9ED5" w:themeColor="accent4"/>
        </w:rPr>
        <w:br/>
      </w:r>
      <w:r w:rsidR="00F1655D">
        <w:rPr>
          <w:rFonts w:hint="eastAsia"/>
          <w:color w:val="0F9ED5" w:themeColor="accent4"/>
        </w:rPr>
        <w:t xml:space="preserve">　</w:t>
      </w:r>
      <w:r w:rsidR="00F1655D" w:rsidRPr="00156480">
        <w:rPr>
          <w:rFonts w:hint="eastAsia"/>
          <w:color w:val="0F9ED5" w:themeColor="accent4"/>
        </w:rPr>
        <w:t>イ</w:t>
      </w:r>
      <w:r w:rsidRPr="00156480">
        <w:rPr>
          <w:color w:val="0F9ED5" w:themeColor="accent4"/>
        </w:rPr>
        <w:t>)</w:t>
      </w:r>
      <w:r w:rsidRPr="00156480">
        <w:rPr>
          <w:rFonts w:hint="eastAsia"/>
          <w:color w:val="0F9ED5" w:themeColor="accent4"/>
        </w:rPr>
        <w:t xml:space="preserve"> </w:t>
      </w:r>
      <w:r w:rsidRPr="00156480">
        <w:rPr>
          <w:color w:val="0F9ED5" w:themeColor="accent4"/>
        </w:rPr>
        <w:t>研究分野が1研究専門委員会以上の多岐にわたり、サブソサイエティ形態の組織を有することの研究活動に及ぼすメリットが明確に示されること。</w:t>
      </w:r>
      <w:r w:rsidR="00F1655D">
        <w:rPr>
          <w:color w:val="0F9ED5" w:themeColor="accent4"/>
        </w:rPr>
        <w:br/>
      </w:r>
      <w:r w:rsidR="00F1655D">
        <w:rPr>
          <w:rFonts w:hint="eastAsia"/>
          <w:color w:val="0F9ED5" w:themeColor="accent4"/>
        </w:rPr>
        <w:t xml:space="preserve">　</w:t>
      </w:r>
      <w:r w:rsidRPr="00156480">
        <w:rPr>
          <w:rFonts w:hint="eastAsia"/>
          <w:color w:val="0F9ED5" w:themeColor="accent4"/>
        </w:rPr>
        <w:t>ロ</w:t>
      </w:r>
      <w:r w:rsidRPr="00156480">
        <w:rPr>
          <w:color w:val="0F9ED5" w:themeColor="accent4"/>
        </w:rPr>
        <w:t>)</w:t>
      </w:r>
      <w:r w:rsidRPr="00156480">
        <w:rPr>
          <w:rFonts w:hint="eastAsia"/>
          <w:color w:val="0F9ED5" w:themeColor="accent4"/>
        </w:rPr>
        <w:t xml:space="preserve"> </w:t>
      </w:r>
      <w:r w:rsidRPr="00156480">
        <w:rPr>
          <w:color w:val="0F9ED5" w:themeColor="accent4"/>
        </w:rPr>
        <w:t>研究分野が一過性のトピックではなく、永続性のある研究分野をカバーすること。</w:t>
      </w:r>
      <w:r w:rsidR="00F1655D">
        <w:rPr>
          <w:color w:val="0F9ED5" w:themeColor="accent4"/>
        </w:rPr>
        <w:br/>
      </w:r>
    </w:p>
    <w:p w14:paraId="000FD637" w14:textId="25CCD76C" w:rsidR="00156480" w:rsidRDefault="00156480" w:rsidP="00156480">
      <w:pPr>
        <w:pStyle w:val="a9"/>
        <w:numPr>
          <w:ilvl w:val="0"/>
          <w:numId w:val="1"/>
        </w:numPr>
        <w:snapToGrid w:val="0"/>
      </w:pPr>
      <w:r>
        <w:rPr>
          <w:rFonts w:hint="eastAsia"/>
        </w:rPr>
        <w:t>所属する研究専門委員会</w:t>
      </w:r>
    </w:p>
    <w:p w14:paraId="5C8B2FB5" w14:textId="77777777" w:rsidR="00F1655D" w:rsidRDefault="00F1655D" w:rsidP="00156480">
      <w:pPr>
        <w:pStyle w:val="a9"/>
        <w:snapToGrid w:val="0"/>
        <w:ind w:left="360"/>
      </w:pPr>
    </w:p>
    <w:p w14:paraId="6950A530" w14:textId="10E173DC" w:rsidR="00156480" w:rsidRDefault="00156480" w:rsidP="00156480">
      <w:pPr>
        <w:pStyle w:val="a9"/>
        <w:numPr>
          <w:ilvl w:val="0"/>
          <w:numId w:val="1"/>
        </w:numPr>
        <w:snapToGrid w:val="0"/>
      </w:pPr>
      <w:r>
        <w:rPr>
          <w:rFonts w:hint="eastAsia"/>
        </w:rPr>
        <w:t>活動計画</w:t>
      </w:r>
    </w:p>
    <w:p w14:paraId="05B4A291" w14:textId="454F8EED" w:rsidR="00156480" w:rsidRPr="00156480" w:rsidRDefault="00156480" w:rsidP="00156480">
      <w:pPr>
        <w:pStyle w:val="a9"/>
        <w:snapToGrid w:val="0"/>
        <w:ind w:left="360"/>
      </w:pPr>
      <w:r w:rsidRPr="00156480">
        <w:rPr>
          <w:rFonts w:hint="eastAsia"/>
          <w:color w:val="0F9ED5" w:themeColor="accent4"/>
        </w:rPr>
        <w:t>※参考：サブソサイエティ運営規程第</w:t>
      </w:r>
      <w:r>
        <w:rPr>
          <w:rFonts w:hint="eastAsia"/>
          <w:color w:val="0F9ED5" w:themeColor="accent4"/>
        </w:rPr>
        <w:t>３</w:t>
      </w:r>
      <w:r w:rsidRPr="00156480">
        <w:rPr>
          <w:rFonts w:hint="eastAsia"/>
          <w:color w:val="0F9ED5" w:themeColor="accent4"/>
        </w:rPr>
        <w:t>条</w:t>
      </w:r>
      <w:r w:rsidRPr="00156480">
        <w:rPr>
          <w:color w:val="0F9ED5" w:themeColor="accent4"/>
        </w:rPr>
        <w:br/>
      </w:r>
      <w:r w:rsidRPr="00156480">
        <w:rPr>
          <w:rFonts w:hint="eastAsia"/>
          <w:color w:val="0F9ED5" w:themeColor="accent4"/>
        </w:rPr>
        <w:t>サブソサイエティは前条の目的を達成するために次の事業を行う。</w:t>
      </w:r>
      <w:r w:rsidR="00F1655D">
        <w:rPr>
          <w:color w:val="0F9ED5" w:themeColor="accent4"/>
        </w:rPr>
        <w:br/>
      </w:r>
      <w:r w:rsidR="00F1655D">
        <w:rPr>
          <w:rFonts w:hint="eastAsia"/>
          <w:color w:val="0F9ED5" w:themeColor="accent4"/>
        </w:rPr>
        <w:t xml:space="preserve">　</w:t>
      </w:r>
      <w:r w:rsidRPr="00156480">
        <w:rPr>
          <w:color w:val="0F9ED5" w:themeColor="accent4"/>
        </w:rPr>
        <w:t>イ)</w:t>
      </w:r>
      <w:r>
        <w:rPr>
          <w:rFonts w:hint="eastAsia"/>
          <w:color w:val="0F9ED5" w:themeColor="accent4"/>
        </w:rPr>
        <w:t xml:space="preserve"> </w:t>
      </w:r>
      <w:r w:rsidRPr="00156480">
        <w:rPr>
          <w:color w:val="0F9ED5" w:themeColor="accent4"/>
        </w:rPr>
        <w:t>年1 回程度のサブソサイエティ主催の学術研究集会等の開催</w:t>
      </w:r>
      <w:r w:rsidR="00F1655D">
        <w:rPr>
          <w:color w:val="0F9ED5" w:themeColor="accent4"/>
        </w:rPr>
        <w:br/>
      </w:r>
      <w:r w:rsidR="00F1655D">
        <w:rPr>
          <w:rFonts w:hint="eastAsia"/>
          <w:color w:val="0F9ED5" w:themeColor="accent4"/>
        </w:rPr>
        <w:lastRenderedPageBreak/>
        <w:t xml:space="preserve">　</w:t>
      </w:r>
      <w:r w:rsidRPr="00156480">
        <w:rPr>
          <w:color w:val="0F9ED5" w:themeColor="accent4"/>
        </w:rPr>
        <w:t>ロ)</w:t>
      </w:r>
      <w:r>
        <w:rPr>
          <w:rFonts w:hint="eastAsia"/>
          <w:color w:val="0F9ED5" w:themeColor="accent4"/>
        </w:rPr>
        <w:t xml:space="preserve"> </w:t>
      </w:r>
      <w:r w:rsidRPr="00156480">
        <w:rPr>
          <w:color w:val="0F9ED5" w:themeColor="accent4"/>
        </w:rPr>
        <w:t>その他目的を達成するために必要な事業</w:t>
      </w:r>
      <w:r w:rsidR="00F1655D">
        <w:rPr>
          <w:color w:val="0F9ED5" w:themeColor="accent4"/>
        </w:rPr>
        <w:br/>
      </w:r>
    </w:p>
    <w:p w14:paraId="769FA98B" w14:textId="6E230873" w:rsidR="00156480" w:rsidRDefault="00156480" w:rsidP="00156480">
      <w:pPr>
        <w:pStyle w:val="a9"/>
        <w:numPr>
          <w:ilvl w:val="0"/>
          <w:numId w:val="1"/>
        </w:numPr>
        <w:snapToGrid w:val="0"/>
      </w:pPr>
      <w:r>
        <w:rPr>
          <w:rFonts w:hint="eastAsia"/>
        </w:rPr>
        <w:t>サブソサイエティの役員・委員・</w:t>
      </w:r>
      <w:r w:rsidR="00F1655D">
        <w:rPr>
          <w:rFonts w:hint="eastAsia"/>
        </w:rPr>
        <w:t>決議機関</w:t>
      </w:r>
    </w:p>
    <w:p w14:paraId="40473E29" w14:textId="77777777" w:rsidR="00F1655D" w:rsidRPr="00F1655D" w:rsidRDefault="00F1655D" w:rsidP="00F1655D">
      <w:pPr>
        <w:pStyle w:val="a9"/>
        <w:snapToGrid w:val="0"/>
        <w:ind w:left="360"/>
        <w:rPr>
          <w:color w:val="0F9ED5" w:themeColor="accent4"/>
        </w:rPr>
      </w:pPr>
      <w:r w:rsidRPr="00F1655D">
        <w:rPr>
          <w:rFonts w:hint="eastAsia"/>
          <w:color w:val="0F9ED5" w:themeColor="accent4"/>
        </w:rPr>
        <w:t>※参考：サブソサイエティ運営規程</w:t>
      </w:r>
    </w:p>
    <w:p w14:paraId="73960FC8" w14:textId="17561C81" w:rsidR="00F1655D" w:rsidRPr="00F1655D" w:rsidRDefault="00F1655D" w:rsidP="00F1655D">
      <w:pPr>
        <w:pStyle w:val="a9"/>
        <w:snapToGrid w:val="0"/>
        <w:ind w:left="360"/>
        <w:rPr>
          <w:color w:val="0F9ED5" w:themeColor="accent4"/>
        </w:rPr>
      </w:pPr>
      <w:r w:rsidRPr="00F1655D">
        <w:rPr>
          <w:rFonts w:hint="eastAsia"/>
          <w:color w:val="0F9ED5" w:themeColor="accent4"/>
        </w:rPr>
        <w:t>第</w:t>
      </w:r>
      <w:r w:rsidRPr="00F1655D">
        <w:rPr>
          <w:color w:val="0F9ED5" w:themeColor="accent4"/>
        </w:rPr>
        <w:t>4条</w:t>
      </w:r>
      <w:r w:rsidRPr="00F1655D">
        <w:rPr>
          <w:rFonts w:hint="eastAsia"/>
          <w:color w:val="0F9ED5" w:themeColor="accent4"/>
        </w:rPr>
        <w:t xml:space="preserve"> </w:t>
      </w:r>
      <w:r w:rsidRPr="00F1655D">
        <w:rPr>
          <w:color w:val="0F9ED5" w:themeColor="accent4"/>
        </w:rPr>
        <w:t>サブソサイエティはサブソサイエティ長を選定する。サブソサイエティ長の任期は1年とし、2期を越えてはならない。また、再任は出来ない。なお、サブソサイエティ長はソサイエティ副会長を兼務する。</w:t>
      </w:r>
    </w:p>
    <w:p w14:paraId="55D3EF3B" w14:textId="5486E509" w:rsidR="00156480" w:rsidRPr="00F1655D" w:rsidRDefault="00F1655D" w:rsidP="00F1655D">
      <w:pPr>
        <w:pStyle w:val="a9"/>
        <w:snapToGrid w:val="0"/>
        <w:ind w:left="360" w:firstLineChars="100" w:firstLine="220"/>
        <w:rPr>
          <w:color w:val="0F9ED5" w:themeColor="accent4"/>
        </w:rPr>
      </w:pPr>
      <w:r w:rsidRPr="00F1655D">
        <w:rPr>
          <w:color w:val="0F9ED5" w:themeColor="accent4"/>
        </w:rPr>
        <w:t>2.</w:t>
      </w:r>
      <w:r w:rsidRPr="00F1655D">
        <w:rPr>
          <w:rFonts w:hint="eastAsia"/>
          <w:color w:val="0F9ED5" w:themeColor="accent4"/>
        </w:rPr>
        <w:t xml:space="preserve"> </w:t>
      </w:r>
      <w:r w:rsidRPr="00F1655D">
        <w:rPr>
          <w:color w:val="0F9ED5" w:themeColor="accent4"/>
        </w:rPr>
        <w:t>その他必要な委員若干名をサブソサイエティにおくことができる。</w:t>
      </w:r>
    </w:p>
    <w:p w14:paraId="0757719B" w14:textId="46ED75CA" w:rsidR="00F1655D" w:rsidRPr="00F1655D" w:rsidRDefault="00F1655D" w:rsidP="00F1655D">
      <w:pPr>
        <w:pStyle w:val="a9"/>
        <w:snapToGrid w:val="0"/>
        <w:ind w:left="360"/>
        <w:rPr>
          <w:color w:val="0F9ED5" w:themeColor="accent4"/>
        </w:rPr>
      </w:pPr>
      <w:r w:rsidRPr="00F1655D">
        <w:rPr>
          <w:rFonts w:hint="eastAsia"/>
          <w:color w:val="0F9ED5" w:themeColor="accent4"/>
        </w:rPr>
        <w:t>第５条 サブソサイエティに意思決定機関（以下、議決機関と称す）をおく。サブソサイエティの議決機関の構成は、各サブソサイエティにて定めるものとする。</w:t>
      </w:r>
    </w:p>
    <w:p w14:paraId="40ADFC22" w14:textId="4D49A643" w:rsidR="00F1655D" w:rsidRPr="00F1655D" w:rsidRDefault="00F1655D" w:rsidP="00F1655D">
      <w:pPr>
        <w:pStyle w:val="a9"/>
        <w:snapToGrid w:val="0"/>
        <w:ind w:left="360" w:firstLineChars="100" w:firstLine="220"/>
        <w:rPr>
          <w:color w:val="0F9ED5" w:themeColor="accent4"/>
        </w:rPr>
      </w:pPr>
      <w:r w:rsidRPr="00F1655D">
        <w:rPr>
          <w:color w:val="0F9ED5" w:themeColor="accent4"/>
        </w:rPr>
        <w:t>2.</w:t>
      </w:r>
      <w:r w:rsidRPr="00F1655D">
        <w:rPr>
          <w:rFonts w:hint="eastAsia"/>
          <w:color w:val="0F9ED5" w:themeColor="accent4"/>
        </w:rPr>
        <w:t xml:space="preserve"> </w:t>
      </w:r>
      <w:r w:rsidRPr="00F1655D">
        <w:rPr>
          <w:color w:val="0F9ED5" w:themeColor="accent4"/>
        </w:rPr>
        <w:t>サブソサイエティ長は、サブソサイエティの議決機関を代表し、統括する。</w:t>
      </w:r>
    </w:p>
    <w:p w14:paraId="472794DE" w14:textId="1D7C424A" w:rsidR="00F1655D" w:rsidRPr="00F1655D" w:rsidRDefault="00F1655D" w:rsidP="00F1655D">
      <w:pPr>
        <w:pStyle w:val="a9"/>
        <w:snapToGrid w:val="0"/>
        <w:ind w:left="360" w:firstLineChars="100" w:firstLine="220"/>
        <w:rPr>
          <w:color w:val="0F9ED5" w:themeColor="accent4"/>
        </w:rPr>
      </w:pPr>
      <w:r w:rsidRPr="00F1655D">
        <w:rPr>
          <w:color w:val="0F9ED5" w:themeColor="accent4"/>
        </w:rPr>
        <w:t>3.</w:t>
      </w:r>
      <w:r w:rsidRPr="00F1655D">
        <w:rPr>
          <w:rFonts w:hint="eastAsia"/>
          <w:color w:val="0F9ED5" w:themeColor="accent4"/>
        </w:rPr>
        <w:t xml:space="preserve"> </w:t>
      </w:r>
      <w:r w:rsidRPr="00F1655D">
        <w:rPr>
          <w:color w:val="0F9ED5" w:themeColor="accent4"/>
        </w:rPr>
        <w:t>サブソサイエティ長は、サブソサイエティの議決結果を本ソサイエティ運営委員会に提案または報告する。</w:t>
      </w:r>
    </w:p>
    <w:p w14:paraId="788ED623" w14:textId="77777777" w:rsidR="00F1655D" w:rsidRDefault="00F1655D" w:rsidP="00156480">
      <w:pPr>
        <w:pStyle w:val="a9"/>
        <w:snapToGrid w:val="0"/>
        <w:ind w:left="360"/>
      </w:pPr>
    </w:p>
    <w:p w14:paraId="67A52435" w14:textId="3A94B014" w:rsidR="00156480" w:rsidRDefault="00156480" w:rsidP="00156480">
      <w:pPr>
        <w:pStyle w:val="a9"/>
        <w:numPr>
          <w:ilvl w:val="0"/>
          <w:numId w:val="1"/>
        </w:numPr>
        <w:snapToGrid w:val="0"/>
      </w:pPr>
      <w:r>
        <w:rPr>
          <w:rFonts w:hint="eastAsia"/>
        </w:rPr>
        <w:t>連絡先</w:t>
      </w:r>
    </w:p>
    <w:p w14:paraId="2A7CBA92" w14:textId="14AED19E" w:rsidR="00156480" w:rsidRDefault="00F1655D" w:rsidP="00156480">
      <w:pPr>
        <w:pStyle w:val="a9"/>
        <w:snapToGrid w:val="0"/>
        <w:ind w:left="360"/>
      </w:pPr>
      <w:r w:rsidRPr="00F1655D">
        <w:rPr>
          <w:rFonts w:hint="eastAsia"/>
          <w:color w:val="0F9ED5" w:themeColor="accent4"/>
        </w:rPr>
        <w:t>※本件連絡先担当者の氏名・所属・住所・電話・E-mail等を記載してください</w:t>
      </w:r>
      <w:r w:rsidRPr="00F1655D">
        <w:rPr>
          <w:color w:val="0F9ED5" w:themeColor="accent4"/>
        </w:rPr>
        <w:br/>
      </w:r>
    </w:p>
    <w:p w14:paraId="608B6D66" w14:textId="5AB51276" w:rsidR="00156480" w:rsidRDefault="00F1655D" w:rsidP="00156480">
      <w:pPr>
        <w:pStyle w:val="a9"/>
        <w:numPr>
          <w:ilvl w:val="0"/>
          <w:numId w:val="1"/>
        </w:numPr>
        <w:snapToGrid w:val="0"/>
      </w:pPr>
      <w:r>
        <w:rPr>
          <w:rFonts w:hint="eastAsia"/>
        </w:rPr>
        <w:t>その他、特記事項</w:t>
      </w:r>
      <w:r>
        <w:br/>
      </w:r>
      <w:r w:rsidRPr="00F1655D">
        <w:rPr>
          <w:rFonts w:hint="eastAsia"/>
          <w:color w:val="0F9ED5" w:themeColor="accent4"/>
        </w:rPr>
        <w:t>※何か特記事項があれば記載してください</w:t>
      </w:r>
    </w:p>
    <w:sectPr w:rsidR="00156480" w:rsidSect="0015648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25DEA" w14:textId="77777777" w:rsidR="00CB39E3" w:rsidRDefault="00CB39E3" w:rsidP="00216910">
      <w:pPr>
        <w:spacing w:after="0" w:line="240" w:lineRule="auto"/>
      </w:pPr>
      <w:r>
        <w:separator/>
      </w:r>
    </w:p>
  </w:endnote>
  <w:endnote w:type="continuationSeparator" w:id="0">
    <w:p w14:paraId="0489578B" w14:textId="77777777" w:rsidR="00CB39E3" w:rsidRDefault="00CB39E3" w:rsidP="0021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1E96D" w14:textId="77777777" w:rsidR="00CB39E3" w:rsidRDefault="00CB39E3" w:rsidP="00216910">
      <w:pPr>
        <w:spacing w:after="0" w:line="240" w:lineRule="auto"/>
      </w:pPr>
      <w:r>
        <w:separator/>
      </w:r>
    </w:p>
  </w:footnote>
  <w:footnote w:type="continuationSeparator" w:id="0">
    <w:p w14:paraId="67F373C5" w14:textId="77777777" w:rsidR="00CB39E3" w:rsidRDefault="00CB39E3" w:rsidP="00216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740A5"/>
    <w:multiLevelType w:val="hybridMultilevel"/>
    <w:tmpl w:val="D2D6156E"/>
    <w:lvl w:ilvl="0" w:tplc="7D0234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02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80"/>
    <w:rsid w:val="00090F6A"/>
    <w:rsid w:val="00156480"/>
    <w:rsid w:val="00216910"/>
    <w:rsid w:val="00416EAA"/>
    <w:rsid w:val="00493972"/>
    <w:rsid w:val="005D3FBA"/>
    <w:rsid w:val="00653F07"/>
    <w:rsid w:val="007E1D24"/>
    <w:rsid w:val="009F3907"/>
    <w:rsid w:val="00B1138E"/>
    <w:rsid w:val="00B30D4B"/>
    <w:rsid w:val="00CB39E3"/>
    <w:rsid w:val="00D656A2"/>
    <w:rsid w:val="00DB436B"/>
    <w:rsid w:val="00E74ACE"/>
    <w:rsid w:val="00F16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D5667"/>
  <w15:chartTrackingRefBased/>
  <w15:docId w15:val="{922774E8-5ABE-4A33-9D73-A9188891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4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64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64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64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64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64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64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64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64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64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64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64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64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64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64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64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64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64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64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64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4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64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480"/>
    <w:pPr>
      <w:spacing w:before="160"/>
      <w:jc w:val="center"/>
    </w:pPr>
    <w:rPr>
      <w:i/>
      <w:iCs/>
      <w:color w:val="404040" w:themeColor="text1" w:themeTint="BF"/>
    </w:rPr>
  </w:style>
  <w:style w:type="character" w:customStyle="1" w:styleId="a8">
    <w:name w:val="引用文 (文字)"/>
    <w:basedOn w:val="a0"/>
    <w:link w:val="a7"/>
    <w:uiPriority w:val="29"/>
    <w:rsid w:val="00156480"/>
    <w:rPr>
      <w:i/>
      <w:iCs/>
      <w:color w:val="404040" w:themeColor="text1" w:themeTint="BF"/>
    </w:rPr>
  </w:style>
  <w:style w:type="paragraph" w:styleId="a9">
    <w:name w:val="List Paragraph"/>
    <w:basedOn w:val="a"/>
    <w:uiPriority w:val="34"/>
    <w:qFormat/>
    <w:rsid w:val="00156480"/>
    <w:pPr>
      <w:ind w:left="720"/>
      <w:contextualSpacing/>
    </w:pPr>
  </w:style>
  <w:style w:type="character" w:styleId="21">
    <w:name w:val="Intense Emphasis"/>
    <w:basedOn w:val="a0"/>
    <w:uiPriority w:val="21"/>
    <w:qFormat/>
    <w:rsid w:val="00156480"/>
    <w:rPr>
      <w:i/>
      <w:iCs/>
      <w:color w:val="0F4761" w:themeColor="accent1" w:themeShade="BF"/>
    </w:rPr>
  </w:style>
  <w:style w:type="paragraph" w:styleId="22">
    <w:name w:val="Intense Quote"/>
    <w:basedOn w:val="a"/>
    <w:next w:val="a"/>
    <w:link w:val="23"/>
    <w:uiPriority w:val="30"/>
    <w:qFormat/>
    <w:rsid w:val="00156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6480"/>
    <w:rPr>
      <w:i/>
      <w:iCs/>
      <w:color w:val="0F4761" w:themeColor="accent1" w:themeShade="BF"/>
    </w:rPr>
  </w:style>
  <w:style w:type="character" w:styleId="24">
    <w:name w:val="Intense Reference"/>
    <w:basedOn w:val="a0"/>
    <w:uiPriority w:val="32"/>
    <w:qFormat/>
    <w:rsid w:val="00156480"/>
    <w:rPr>
      <w:b/>
      <w:bCs/>
      <w:smallCaps/>
      <w:color w:val="0F4761" w:themeColor="accent1" w:themeShade="BF"/>
      <w:spacing w:val="5"/>
    </w:rPr>
  </w:style>
  <w:style w:type="paragraph" w:styleId="aa">
    <w:name w:val="Date"/>
    <w:basedOn w:val="a"/>
    <w:next w:val="a"/>
    <w:link w:val="ab"/>
    <w:uiPriority w:val="99"/>
    <w:semiHidden/>
    <w:unhideWhenUsed/>
    <w:rsid w:val="00156480"/>
  </w:style>
  <w:style w:type="character" w:customStyle="1" w:styleId="ab">
    <w:name w:val="日付 (文字)"/>
    <w:basedOn w:val="a0"/>
    <w:link w:val="aa"/>
    <w:uiPriority w:val="99"/>
    <w:semiHidden/>
    <w:rsid w:val="00156480"/>
  </w:style>
  <w:style w:type="paragraph" w:styleId="ac">
    <w:name w:val="header"/>
    <w:basedOn w:val="a"/>
    <w:link w:val="ad"/>
    <w:uiPriority w:val="99"/>
    <w:unhideWhenUsed/>
    <w:rsid w:val="00216910"/>
    <w:pPr>
      <w:tabs>
        <w:tab w:val="center" w:pos="4252"/>
        <w:tab w:val="right" w:pos="8504"/>
      </w:tabs>
      <w:snapToGrid w:val="0"/>
    </w:pPr>
  </w:style>
  <w:style w:type="character" w:customStyle="1" w:styleId="ad">
    <w:name w:val="ヘッダー (文字)"/>
    <w:basedOn w:val="a0"/>
    <w:link w:val="ac"/>
    <w:uiPriority w:val="99"/>
    <w:rsid w:val="00216910"/>
  </w:style>
  <w:style w:type="paragraph" w:styleId="ae">
    <w:name w:val="footer"/>
    <w:basedOn w:val="a"/>
    <w:link w:val="af"/>
    <w:uiPriority w:val="99"/>
    <w:unhideWhenUsed/>
    <w:rsid w:val="00216910"/>
    <w:pPr>
      <w:tabs>
        <w:tab w:val="center" w:pos="4252"/>
        <w:tab w:val="right" w:pos="8504"/>
      </w:tabs>
      <w:snapToGrid w:val="0"/>
    </w:pPr>
  </w:style>
  <w:style w:type="character" w:customStyle="1" w:styleId="af">
    <w:name w:val="フッター (文字)"/>
    <w:basedOn w:val="a0"/>
    <w:link w:val="ae"/>
    <w:uiPriority w:val="99"/>
    <w:rsid w:val="0021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Shigeaki Kuzuoka</dc:creator>
  <cp:keywords/>
  <dc:description/>
  <cp:lastModifiedBy>Shigeaki Kuzuoka</cp:lastModifiedBy>
  <cp:revision>5</cp:revision>
  <dcterms:created xsi:type="dcterms:W3CDTF">2024-07-03T23:38:00Z</dcterms:created>
  <dcterms:modified xsi:type="dcterms:W3CDTF">2024-07-19T00:35:00Z</dcterms:modified>
</cp:coreProperties>
</file>